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6759C" w14:textId="4D1B55B0" w:rsidR="00F9444C" w:rsidRDefault="00A32948">
      <w:pPr>
        <w:pStyle w:val="NoSpacing"/>
      </w:pPr>
      <w:r>
        <w:t>Jasmine Daggett</w:t>
      </w:r>
    </w:p>
    <w:p w14:paraId="5B0A9CA4" w14:textId="14FD180E" w:rsidR="00E614DD" w:rsidRDefault="00A32948">
      <w:pPr>
        <w:pStyle w:val="NoSpacing"/>
      </w:pPr>
      <w:r>
        <w:t>Dr. Linden</w:t>
      </w:r>
    </w:p>
    <w:p w14:paraId="4128178B" w14:textId="4107E6F0" w:rsidR="00E614DD" w:rsidRDefault="00A32948">
      <w:pPr>
        <w:pStyle w:val="NoSpacing"/>
      </w:pPr>
      <w:r>
        <w:t>Critical Thinking</w:t>
      </w:r>
    </w:p>
    <w:p w14:paraId="3A1C12C7" w14:textId="3F7B9942" w:rsidR="00E614DD" w:rsidRDefault="00A32948">
      <w:pPr>
        <w:pStyle w:val="NoSpacing"/>
      </w:pPr>
      <w:r>
        <w:t>9 October 2019</w:t>
      </w:r>
    </w:p>
    <w:p w14:paraId="6209299E" w14:textId="1991615B" w:rsidR="00E614DD" w:rsidRDefault="00D942D5">
      <w:pPr>
        <w:pStyle w:val="Title"/>
      </w:pPr>
      <w:r>
        <w:t>Abstracts</w:t>
      </w:r>
    </w:p>
    <w:p w14:paraId="35C20A0E" w14:textId="4AA56A35" w:rsidR="00BE57FA" w:rsidRPr="00BE57FA" w:rsidRDefault="00BE57FA" w:rsidP="009752BC">
      <w:pPr>
        <w:rPr>
          <w:rFonts w:ascii="Times New Roman" w:hAnsi="Times New Roman" w:cs="Times New Roman"/>
        </w:rPr>
      </w:pPr>
      <w:r w:rsidRPr="00BE57FA">
        <w:rPr>
          <w:rFonts w:ascii="Times New Roman" w:hAnsi="Times New Roman" w:cs="Times New Roman"/>
        </w:rPr>
        <w:t>Article 1</w:t>
      </w:r>
    </w:p>
    <w:p w14:paraId="10BF23A1" w14:textId="4B4BCB46" w:rsidR="00A83466" w:rsidRPr="00BE57FA" w:rsidRDefault="0045766B" w:rsidP="009752BC">
      <w:pPr>
        <w:rPr>
          <w:rFonts w:ascii="Times New Roman" w:hAnsi="Times New Roman" w:cs="Times New Roman"/>
        </w:rPr>
      </w:pPr>
      <w:r w:rsidRPr="00BE57FA">
        <w:rPr>
          <w:rFonts w:ascii="Times New Roman" w:hAnsi="Times New Roman" w:cs="Times New Roman"/>
        </w:rPr>
        <w:t>An excerpt is presented from a Pakistani report titled "Pakistan Flood: HAARP Used in Pakistan -- Urgent," that accuses the U.S. Central Intelligence Agency and the United States Air Force of employing the High Frequency Active Auroral Research Program (HAARP) to artificially cause flooding in Pakistan.</w:t>
      </w:r>
    </w:p>
    <w:p w14:paraId="7764F9C1" w14:textId="77777777" w:rsidR="002E136C" w:rsidRPr="00BE57FA" w:rsidRDefault="002E136C" w:rsidP="002E136C">
      <w:pPr>
        <w:rPr>
          <w:rFonts w:ascii="Times New Roman" w:hAnsi="Times New Roman" w:cs="Times New Roman"/>
        </w:rPr>
      </w:pPr>
      <w:r w:rsidRPr="00BE57FA">
        <w:rPr>
          <w:rFonts w:ascii="Times New Roman" w:hAnsi="Times New Roman" w:cs="Times New Roman"/>
        </w:rPr>
        <w:t>Works Cited</w:t>
      </w:r>
    </w:p>
    <w:p w14:paraId="77CE5E64" w14:textId="46E85170" w:rsidR="002E136C" w:rsidRPr="00BE57FA" w:rsidRDefault="002E136C" w:rsidP="002E136C">
      <w:pPr>
        <w:rPr>
          <w:rFonts w:ascii="Times New Roman" w:hAnsi="Times New Roman" w:cs="Times New Roman"/>
        </w:rPr>
      </w:pPr>
      <w:r w:rsidRPr="00BE57FA">
        <w:rPr>
          <w:rFonts w:ascii="Times New Roman" w:hAnsi="Times New Roman" w:cs="Times New Roman"/>
        </w:rPr>
        <w:t xml:space="preserve">“CIA Rainmaker Causes Pakistan Floods.” </w:t>
      </w:r>
      <w:r w:rsidRPr="00BE57FA">
        <w:rPr>
          <w:rFonts w:ascii="Times New Roman" w:hAnsi="Times New Roman" w:cs="Times New Roman"/>
          <w:i/>
          <w:iCs/>
        </w:rPr>
        <w:t>Middle East Quarterly</w:t>
      </w:r>
      <w:r w:rsidRPr="00BE57FA">
        <w:rPr>
          <w:rFonts w:ascii="Times New Roman" w:hAnsi="Times New Roman" w:cs="Times New Roman"/>
        </w:rPr>
        <w:t xml:space="preserve">, vol. 18, no. 1, Winter 2011, p. 57. </w:t>
      </w:r>
    </w:p>
    <w:p w14:paraId="59891BE3" w14:textId="4B589E5C" w:rsidR="00BE57FA" w:rsidRPr="00BE57FA" w:rsidRDefault="00BE57FA" w:rsidP="002E136C">
      <w:pPr>
        <w:rPr>
          <w:rFonts w:ascii="Times New Roman" w:hAnsi="Times New Roman" w:cs="Times New Roman"/>
        </w:rPr>
      </w:pPr>
      <w:r w:rsidRPr="00BE57FA">
        <w:rPr>
          <w:rFonts w:ascii="Times New Roman" w:hAnsi="Times New Roman" w:cs="Times New Roman"/>
        </w:rPr>
        <w:t xml:space="preserve">Article 2 </w:t>
      </w:r>
    </w:p>
    <w:p w14:paraId="3DC2CD07" w14:textId="7B8A9B81" w:rsidR="00D942D5" w:rsidRPr="00BE57FA" w:rsidRDefault="00941D20" w:rsidP="00D942D5">
      <w:pPr>
        <w:rPr>
          <w:rFonts w:ascii="Times New Roman" w:hAnsi="Times New Roman" w:cs="Times New Roman"/>
        </w:rPr>
      </w:pPr>
      <w:r w:rsidRPr="00BE57FA">
        <w:rPr>
          <w:rFonts w:ascii="Times New Roman" w:hAnsi="Times New Roman" w:cs="Times New Roman"/>
        </w:rPr>
        <w:t xml:space="preserve">Artificial ionospheric plasmas descending from the background F-region have been observed on multiple occasions at the High Frequency Active Auroral Research Program (HAARP) facility since it reached full 3.6MW power. Proximity of the transmitter frequency to the 2nd harmonic of the electron gyrofrequency (2ƒce) has been noted as a requirement for their occurrence, and their disappearance after only a few minutes has been attributed to the increasing frequency mismatch at lower altitudes. We report new experiments employing frequency sweeps to match 2ƒce in the artificial plasmas as they descend. In addition to revealing the dependence on the 2ƒce resonance, this technique reliably produces descending plasmas in multiple transmitter beam positions and appears to increase their stability and lifetime. High-speed </w:t>
      </w:r>
      <w:r w:rsidRPr="00BE57FA">
        <w:rPr>
          <w:rFonts w:ascii="Times New Roman" w:hAnsi="Times New Roman" w:cs="Times New Roman"/>
        </w:rPr>
        <w:lastRenderedPageBreak/>
        <w:t>ionosonde measurements are used to monitor the altitude and density of the artificial plasmas during both the formation and decay stages. [ABSTRACT FROM AUTHOR]</w:t>
      </w:r>
    </w:p>
    <w:p w14:paraId="7EFC1757" w14:textId="77777777" w:rsidR="00524BC5" w:rsidRPr="00BE57FA" w:rsidRDefault="00524BC5" w:rsidP="00524BC5">
      <w:pPr>
        <w:rPr>
          <w:rFonts w:ascii="Times New Roman" w:hAnsi="Times New Roman" w:cs="Times New Roman"/>
        </w:rPr>
      </w:pPr>
      <w:r w:rsidRPr="00BE57FA">
        <w:rPr>
          <w:rFonts w:ascii="Times New Roman" w:hAnsi="Times New Roman" w:cs="Times New Roman"/>
        </w:rPr>
        <w:t>Works Cited</w:t>
      </w:r>
    </w:p>
    <w:p w14:paraId="28185DC4" w14:textId="21C01447" w:rsidR="00524BC5" w:rsidRPr="00BE57FA" w:rsidRDefault="00524BC5" w:rsidP="00524BC5">
      <w:pPr>
        <w:rPr>
          <w:rFonts w:ascii="Times New Roman" w:hAnsi="Times New Roman" w:cs="Times New Roman"/>
        </w:rPr>
      </w:pPr>
      <w:r w:rsidRPr="00BE57FA">
        <w:rPr>
          <w:rFonts w:ascii="Times New Roman" w:hAnsi="Times New Roman" w:cs="Times New Roman"/>
        </w:rPr>
        <w:t xml:space="preserve">Pedersen, T., et al. “Production of Artificial Ionospheric Layers by Frequency Sweeping near the 2nd </w:t>
      </w:r>
      <w:proofErr w:type="spellStart"/>
      <w:r w:rsidRPr="00BE57FA">
        <w:rPr>
          <w:rFonts w:ascii="Times New Roman" w:hAnsi="Times New Roman" w:cs="Times New Roman"/>
        </w:rPr>
        <w:t>Gyroharmonic</w:t>
      </w:r>
      <w:proofErr w:type="spellEnd"/>
      <w:r w:rsidRPr="00BE57FA">
        <w:rPr>
          <w:rFonts w:ascii="Times New Roman" w:hAnsi="Times New Roman" w:cs="Times New Roman"/>
        </w:rPr>
        <w:t xml:space="preserve">.” </w:t>
      </w:r>
      <w:r w:rsidRPr="00BE57FA">
        <w:rPr>
          <w:rFonts w:ascii="Times New Roman" w:hAnsi="Times New Roman" w:cs="Times New Roman"/>
          <w:i/>
          <w:iCs/>
        </w:rPr>
        <w:t xml:space="preserve">Annales </w:t>
      </w:r>
      <w:proofErr w:type="spellStart"/>
      <w:r w:rsidRPr="00BE57FA">
        <w:rPr>
          <w:rFonts w:ascii="Times New Roman" w:hAnsi="Times New Roman" w:cs="Times New Roman"/>
          <w:i/>
          <w:iCs/>
        </w:rPr>
        <w:t>Geophysicae</w:t>
      </w:r>
      <w:proofErr w:type="spellEnd"/>
      <w:r w:rsidRPr="00BE57FA">
        <w:rPr>
          <w:rFonts w:ascii="Times New Roman" w:hAnsi="Times New Roman" w:cs="Times New Roman"/>
          <w:i/>
          <w:iCs/>
        </w:rPr>
        <w:t xml:space="preserve"> (09927689)</w:t>
      </w:r>
      <w:r w:rsidRPr="00BE57FA">
        <w:rPr>
          <w:rFonts w:ascii="Times New Roman" w:hAnsi="Times New Roman" w:cs="Times New Roman"/>
        </w:rPr>
        <w:t>, vol. 29, no. 1, Jan. 2011, pp. 47–51</w:t>
      </w:r>
    </w:p>
    <w:p w14:paraId="60D6AE00" w14:textId="6475CC38" w:rsidR="00BE57FA" w:rsidRPr="00BE57FA" w:rsidRDefault="00BE57FA" w:rsidP="00524BC5">
      <w:pPr>
        <w:rPr>
          <w:rFonts w:ascii="Times New Roman" w:hAnsi="Times New Roman" w:cs="Times New Roman"/>
        </w:rPr>
      </w:pPr>
      <w:r w:rsidRPr="00BE57FA">
        <w:rPr>
          <w:rFonts w:ascii="Times New Roman" w:hAnsi="Times New Roman" w:cs="Times New Roman"/>
        </w:rPr>
        <w:t>Article 3</w:t>
      </w:r>
    </w:p>
    <w:p w14:paraId="0F7CA664" w14:textId="3562ED02" w:rsidR="00524BC5" w:rsidRPr="00BE57FA" w:rsidRDefault="008B71E2" w:rsidP="00D942D5">
      <w:pPr>
        <w:rPr>
          <w:rFonts w:ascii="Times New Roman" w:hAnsi="Times New Roman" w:cs="Times New Roman"/>
        </w:rPr>
      </w:pPr>
      <w:r w:rsidRPr="00BE57FA">
        <w:rPr>
          <w:rFonts w:ascii="Times New Roman" w:hAnsi="Times New Roman" w:cs="Times New Roman"/>
        </w:rPr>
        <w:t xml:space="preserve">In the South-East Asia region, the drug control and supply reduction agenda </w:t>
      </w:r>
      <w:proofErr w:type="gramStart"/>
      <w:r w:rsidRPr="00BE57FA">
        <w:rPr>
          <w:rFonts w:ascii="Times New Roman" w:hAnsi="Times New Roman" w:cs="Times New Roman"/>
        </w:rPr>
        <w:t>is</w:t>
      </w:r>
      <w:proofErr w:type="gramEnd"/>
      <w:r w:rsidRPr="00BE57FA">
        <w:rPr>
          <w:rFonts w:ascii="Times New Roman" w:hAnsi="Times New Roman" w:cs="Times New Roman"/>
        </w:rPr>
        <w:t xml:space="preserve"> of high political importance. A multitude of law enforcement agencies are engaged in this work. Nationwide campaigns such as the "Strike- Hard" campaign in China or the "war on drugs" in Thailand dominate the landscape. Viet Nam's response to drug use has historically focused on deterrence through punishment and supply-side measures. This policy environment is further complicated by lack of evidence-based drug dependence treatment in several settings. The public health consequences of this approach have been extremely serious, with some of the highest documented prevalence of preventable blood-borne viral infections, including HIV, and hepatitis B and C. The wider socioeconomic consequences of this have been borne by families, communities and the governments themselves. The HIV/AIDS Asia Regional Program (HAARP) aims to stop the spread of HIV associated with drug use in South-East Asia and parts of southern China. HAARP works across five countries (Cambodia, China Burma, Laos, Viet Nam) chiefly through the Ministries of Health and Social Affairs, National Drug Control Agencies, and Public Security sectors, including prisons. HAARP has also engaged with UN agencies and a wide range of civil society </w:t>
      </w:r>
      <w:proofErr w:type="spellStart"/>
      <w:r w:rsidRPr="00BE57FA">
        <w:rPr>
          <w:rFonts w:ascii="Times New Roman" w:hAnsi="Times New Roman" w:cs="Times New Roman"/>
        </w:rPr>
        <w:t>organisations</w:t>
      </w:r>
      <w:proofErr w:type="spellEnd"/>
      <w:r w:rsidRPr="00BE57FA">
        <w:rPr>
          <w:rFonts w:ascii="Times New Roman" w:hAnsi="Times New Roman" w:cs="Times New Roman"/>
        </w:rPr>
        <w:t xml:space="preserve">, including </w:t>
      </w:r>
      <w:proofErr w:type="spellStart"/>
      <w:r w:rsidRPr="00BE57FA">
        <w:rPr>
          <w:rFonts w:ascii="Times New Roman" w:hAnsi="Times New Roman" w:cs="Times New Roman"/>
        </w:rPr>
        <w:t>organisations</w:t>
      </w:r>
      <w:proofErr w:type="spellEnd"/>
      <w:r w:rsidRPr="00BE57FA">
        <w:rPr>
          <w:rFonts w:ascii="Times New Roman" w:hAnsi="Times New Roman" w:cs="Times New Roman"/>
        </w:rPr>
        <w:t xml:space="preserve"> of people who use drugs, to ensure their meaningful involvement in matters that directly affect them. We </w:t>
      </w:r>
      <w:r w:rsidRPr="00BE57FA">
        <w:rPr>
          <w:rFonts w:ascii="Times New Roman" w:hAnsi="Times New Roman" w:cs="Times New Roman"/>
        </w:rPr>
        <w:lastRenderedPageBreak/>
        <w:t xml:space="preserve">describe the experience of HAARP in implementing a large-scale harm reduction </w:t>
      </w:r>
      <w:proofErr w:type="spellStart"/>
      <w:r w:rsidRPr="00BE57FA">
        <w:rPr>
          <w:rFonts w:ascii="Times New Roman" w:hAnsi="Times New Roman" w:cs="Times New Roman"/>
        </w:rPr>
        <w:t>programme</w:t>
      </w:r>
      <w:proofErr w:type="spellEnd"/>
      <w:r w:rsidRPr="00BE57FA">
        <w:rPr>
          <w:rFonts w:ascii="Times New Roman" w:hAnsi="Times New Roman" w:cs="Times New Roman"/>
        </w:rPr>
        <w:t xml:space="preserve"> in the Sub-Mekong Region. HAARP chose to direct its efforts in three main areas: supporting an enabling environment for effective harm reduction policies, building core capacity among national health and law enforcement agencies, and supporting "universal access" goals by making effective, high-coverage services available to injecting drug users and their partners. The activities supported by HAARP are humble yet important steps. However, a much higher political-level dialogue is needed. The current huge gap of human rights standards in drug control practices also needs to be bridged immediately. Public health that embraces a rights-based approach must be given its fair share of policy space, budget and influence. [ABSTRACT FROM AUTHOR]</w:t>
      </w:r>
    </w:p>
    <w:p w14:paraId="1DA7EDDB" w14:textId="77777777" w:rsidR="00883350" w:rsidRPr="00BE57FA" w:rsidRDefault="00883350" w:rsidP="00883350">
      <w:pPr>
        <w:rPr>
          <w:rFonts w:ascii="Times New Roman" w:hAnsi="Times New Roman" w:cs="Times New Roman"/>
        </w:rPr>
      </w:pPr>
      <w:r w:rsidRPr="00BE57FA">
        <w:rPr>
          <w:rFonts w:ascii="Times New Roman" w:hAnsi="Times New Roman" w:cs="Times New Roman"/>
        </w:rPr>
        <w:t>Works Cited</w:t>
      </w:r>
    </w:p>
    <w:p w14:paraId="4E5CB855" w14:textId="16287BAB" w:rsidR="00883350" w:rsidRPr="00BE57FA" w:rsidRDefault="00883350" w:rsidP="00883350">
      <w:pPr>
        <w:rPr>
          <w:rFonts w:ascii="Times New Roman" w:hAnsi="Times New Roman" w:cs="Times New Roman"/>
        </w:rPr>
      </w:pPr>
      <w:r w:rsidRPr="00BE57FA">
        <w:rPr>
          <w:rFonts w:ascii="Times New Roman" w:hAnsi="Times New Roman" w:cs="Times New Roman"/>
        </w:rPr>
        <w:t xml:space="preserve">Sharma, Mukta, and </w:t>
      </w:r>
      <w:proofErr w:type="spellStart"/>
      <w:r w:rsidRPr="00BE57FA">
        <w:rPr>
          <w:rFonts w:ascii="Times New Roman" w:hAnsi="Times New Roman" w:cs="Times New Roman"/>
        </w:rPr>
        <w:t>Anindya</w:t>
      </w:r>
      <w:proofErr w:type="spellEnd"/>
      <w:r w:rsidRPr="00BE57FA">
        <w:rPr>
          <w:rFonts w:ascii="Times New Roman" w:hAnsi="Times New Roman" w:cs="Times New Roman"/>
        </w:rPr>
        <w:t xml:space="preserve"> Chatterjee. “Partnering with Law Enforcement to Deliver Good Public Health: The Experience of the HIV/AIDS Asia Regional Program.” </w:t>
      </w:r>
      <w:r w:rsidRPr="00BE57FA">
        <w:rPr>
          <w:rFonts w:ascii="Times New Roman" w:hAnsi="Times New Roman" w:cs="Times New Roman"/>
          <w:i/>
          <w:iCs/>
        </w:rPr>
        <w:t>Harm Reduction Journal</w:t>
      </w:r>
      <w:r w:rsidRPr="00BE57FA">
        <w:rPr>
          <w:rFonts w:ascii="Times New Roman" w:hAnsi="Times New Roman" w:cs="Times New Roman"/>
        </w:rPr>
        <w:t>, vol. 9, no. 1, Jan. 2012, pp. 24–29.</w:t>
      </w:r>
    </w:p>
    <w:p w14:paraId="2A1D18ED" w14:textId="4615E72A" w:rsidR="00BE57FA" w:rsidRPr="00BE57FA" w:rsidRDefault="00BE57FA" w:rsidP="00883350">
      <w:pPr>
        <w:rPr>
          <w:rFonts w:ascii="Times New Roman" w:hAnsi="Times New Roman" w:cs="Times New Roman"/>
        </w:rPr>
      </w:pPr>
      <w:r w:rsidRPr="00BE57FA">
        <w:rPr>
          <w:rFonts w:ascii="Times New Roman" w:hAnsi="Times New Roman" w:cs="Times New Roman"/>
        </w:rPr>
        <w:t>Article 4</w:t>
      </w:r>
    </w:p>
    <w:p w14:paraId="2F2B3D9E" w14:textId="322B6DEC" w:rsidR="00883350" w:rsidRPr="00BE57FA" w:rsidRDefault="005A04FB" w:rsidP="00D942D5">
      <w:pPr>
        <w:rPr>
          <w:rFonts w:ascii="Times New Roman" w:hAnsi="Times New Roman" w:cs="Times New Roman"/>
        </w:rPr>
      </w:pPr>
      <w:r w:rsidRPr="00BE57FA">
        <w:rPr>
          <w:rFonts w:ascii="Times New Roman" w:hAnsi="Times New Roman" w:cs="Times New Roman"/>
        </w:rPr>
        <w:t>Using experimental measurements and theoretical analysis, it is shown that the HF/ELF conversion efficiency is controlled by the timescale for electron temperature saturation. This is a function of the ERP and frequency of the heater and the ionospheric electron density profile. For the current HAARP parameters, this corresponds to frequencies between 2 and 4 kHz. Efficiency optimization techniques as applied to the projected upgrading of the HAARP heater to its design power of 3.6 MW are discussed. [ABSTRACT FROM AUTHOR]</w:t>
      </w:r>
    </w:p>
    <w:p w14:paraId="131BADE5" w14:textId="77777777" w:rsidR="00982146" w:rsidRPr="00BE57FA" w:rsidRDefault="00982146" w:rsidP="00982146">
      <w:pPr>
        <w:rPr>
          <w:rFonts w:ascii="Times New Roman" w:hAnsi="Times New Roman" w:cs="Times New Roman"/>
        </w:rPr>
      </w:pPr>
      <w:r w:rsidRPr="00BE57FA">
        <w:rPr>
          <w:rFonts w:ascii="Times New Roman" w:hAnsi="Times New Roman" w:cs="Times New Roman"/>
        </w:rPr>
        <w:t>Works Cited</w:t>
      </w:r>
    </w:p>
    <w:p w14:paraId="4724C76F" w14:textId="27EAE7B6" w:rsidR="005A04FB" w:rsidRPr="00BE57FA" w:rsidRDefault="00982146" w:rsidP="00982146">
      <w:pPr>
        <w:rPr>
          <w:rFonts w:ascii="Times New Roman" w:hAnsi="Times New Roman" w:cs="Times New Roman"/>
        </w:rPr>
      </w:pPr>
      <w:r w:rsidRPr="00BE57FA">
        <w:rPr>
          <w:rFonts w:ascii="Times New Roman" w:hAnsi="Times New Roman" w:cs="Times New Roman"/>
        </w:rPr>
        <w:lastRenderedPageBreak/>
        <w:t>Papadopoulos, K., et al. “On the Efficiency of ELF/VLF Generation Using HF Heating of the Auroral Electrojet.” Plasma Physics Reports, vol. 29, no. 7, July 2003, p. 561</w:t>
      </w:r>
    </w:p>
    <w:p w14:paraId="10F4AFD6" w14:textId="7D959C31" w:rsidR="00E614DD" w:rsidRPr="00BE57FA" w:rsidRDefault="00E614DD" w:rsidP="00A32948">
      <w:pPr>
        <w:rPr>
          <w:rFonts w:ascii="Times New Roman" w:hAnsi="Times New Roman" w:cs="Times New Roman"/>
        </w:rPr>
      </w:pPr>
    </w:p>
    <w:p w14:paraId="402124DB" w14:textId="66E6BD14" w:rsidR="00E614DD" w:rsidRPr="00BE57FA" w:rsidRDefault="00E614DD">
      <w:pPr>
        <w:pStyle w:val="Bibliography"/>
        <w:rPr>
          <w:rFonts w:ascii="Times New Roman" w:hAnsi="Times New Roman" w:cs="Times New Roman"/>
        </w:rPr>
      </w:pPr>
      <w:bookmarkStart w:id="0" w:name="_GoBack"/>
      <w:bookmarkEnd w:id="0"/>
    </w:p>
    <w:sectPr w:rsidR="00E614DD" w:rsidRPr="00BE57F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614C9B" w14:textId="77777777" w:rsidR="00045399" w:rsidRDefault="00045399">
      <w:pPr>
        <w:spacing w:line="240" w:lineRule="auto"/>
      </w:pPr>
      <w:r>
        <w:separator/>
      </w:r>
    </w:p>
  </w:endnote>
  <w:endnote w:type="continuationSeparator" w:id="0">
    <w:p w14:paraId="41FC5894" w14:textId="77777777" w:rsidR="00045399" w:rsidRDefault="000453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518B91" w14:textId="77777777" w:rsidR="00045399" w:rsidRDefault="00045399">
      <w:pPr>
        <w:spacing w:line="240" w:lineRule="auto"/>
      </w:pPr>
      <w:r>
        <w:separator/>
      </w:r>
    </w:p>
  </w:footnote>
  <w:footnote w:type="continuationSeparator" w:id="0">
    <w:p w14:paraId="480B0C94" w14:textId="77777777" w:rsidR="00045399" w:rsidRDefault="0004539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9697E" w14:textId="3E2BC0B1" w:rsidR="00E614DD" w:rsidRDefault="00982146">
    <w:pPr>
      <w:pStyle w:val="Header"/>
    </w:pPr>
    <w:r>
      <w:t>Daggett</w:t>
    </w:r>
    <w:r w:rsidR="00691EC1">
      <w:t xml:space="preserve"> </w:t>
    </w:r>
    <w:r w:rsidR="00691EC1">
      <w:fldChar w:fldCharType="begin"/>
    </w:r>
    <w:r w:rsidR="00691EC1">
      <w:instrText xml:space="preserve"> PAGE   \* MERGEFORMAT </w:instrText>
    </w:r>
    <w:r w:rsidR="00691EC1">
      <w:fldChar w:fldCharType="separate"/>
    </w:r>
    <w:r w:rsidR="00F9444C">
      <w:rPr>
        <w:noProof/>
      </w:rPr>
      <w:t>2</w:t>
    </w:r>
    <w:r w:rsidR="00691EC1">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1BEF8" w14:textId="01938867" w:rsidR="00E614DD" w:rsidRDefault="00A32948">
    <w:pPr>
      <w:pStyle w:val="Header"/>
    </w:pPr>
    <w:r>
      <w:t>Daggett</w:t>
    </w:r>
    <w:r w:rsidR="00B13D1B">
      <w:t xml:space="preserve"> </w:t>
    </w:r>
    <w:r w:rsidR="00691EC1">
      <w:fldChar w:fldCharType="begin"/>
    </w:r>
    <w:r w:rsidR="00691EC1">
      <w:instrText xml:space="preserve"> PAGE   \* MERGEFORMAT </w:instrText>
    </w:r>
    <w:r w:rsidR="00691EC1">
      <w:fldChar w:fldCharType="separate"/>
    </w:r>
    <w:r w:rsidR="00F9444C">
      <w:rPr>
        <w:noProof/>
      </w:rPr>
      <w:t>1</w:t>
    </w:r>
    <w:r w:rsidR="00691EC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1B5787"/>
    <w:multiLevelType w:val="multilevel"/>
    <w:tmpl w:val="4572ABF8"/>
    <w:numStyleLink w:val="MLAOutline"/>
  </w:abstractNum>
  <w:abstractNum w:abstractNumId="19" w15:restartNumberingAfterBreak="0">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948"/>
    <w:rsid w:val="00040CBB"/>
    <w:rsid w:val="00045399"/>
    <w:rsid w:val="000B78C8"/>
    <w:rsid w:val="001463B2"/>
    <w:rsid w:val="001F62C0"/>
    <w:rsid w:val="00245E02"/>
    <w:rsid w:val="0027064A"/>
    <w:rsid w:val="002E136C"/>
    <w:rsid w:val="00353B66"/>
    <w:rsid w:val="0045766B"/>
    <w:rsid w:val="004A2675"/>
    <w:rsid w:val="004F7139"/>
    <w:rsid w:val="00524BC5"/>
    <w:rsid w:val="00567DA8"/>
    <w:rsid w:val="005A04FB"/>
    <w:rsid w:val="00691EC1"/>
    <w:rsid w:val="006974C7"/>
    <w:rsid w:val="007C53FB"/>
    <w:rsid w:val="00883350"/>
    <w:rsid w:val="008B71E2"/>
    <w:rsid w:val="008B7D18"/>
    <w:rsid w:val="008F1F97"/>
    <w:rsid w:val="008F4052"/>
    <w:rsid w:val="00941D20"/>
    <w:rsid w:val="009752BC"/>
    <w:rsid w:val="00982146"/>
    <w:rsid w:val="009D4EB3"/>
    <w:rsid w:val="00A32948"/>
    <w:rsid w:val="00A40B1D"/>
    <w:rsid w:val="00A83466"/>
    <w:rsid w:val="00B13D1B"/>
    <w:rsid w:val="00B818DF"/>
    <w:rsid w:val="00BE57FA"/>
    <w:rsid w:val="00D52117"/>
    <w:rsid w:val="00D942D5"/>
    <w:rsid w:val="00DB0D39"/>
    <w:rsid w:val="00E14005"/>
    <w:rsid w:val="00E614DD"/>
    <w:rsid w:val="00E8662D"/>
    <w:rsid w:val="00F9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1334E2"/>
  <w15:chartTrackingRefBased/>
  <w15:docId w15:val="{82ABB19D-9610-492E-98EC-E4A62156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0188783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61191057">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0381179">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smi\AppData\Roaming\Microsoft\Templates\MLA%20style%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73D9749-D483-423B-9552-AB79E451E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paper</Template>
  <TotalTime>52</TotalTime>
  <Pages>4</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Daggett</dc:creator>
  <cp:keywords/>
  <dc:description/>
  <cp:lastModifiedBy>Jasmine Daggett</cp:lastModifiedBy>
  <cp:revision>3</cp:revision>
  <dcterms:created xsi:type="dcterms:W3CDTF">2019-10-10T22:16:00Z</dcterms:created>
  <dcterms:modified xsi:type="dcterms:W3CDTF">2019-10-10T23:08:00Z</dcterms:modified>
  <cp:version/>
</cp:coreProperties>
</file>